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42026_010758.xml.htm"/>
      <w:bookmarkStart w:id="1" w:name="ksform307242026_01075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Lucas Svetlana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SCRIBE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1150 MARINA VILLAGE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ALAMEDA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Scribe Therapeutics, Inc.</w:t>
              </w:r>
            </w:hyperlink>
            <w:r>
              <w:rPr/>
              <w:t xml:space="preserve"> [ </w:t>
            </w:r>
            <w:r>
              <w:rPr>
                <w:rFonts w:ascii="Times;serif" w:hAnsi="Times;serif"/>
                <w:color w:val="0000FF"/>
                <w:sz w:val="24"/>
                <w:shd w:fill="FFFFFF" w:val="clear"/>
              </w:rPr>
              <w:t>SCTX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30,695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06/16/2029</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34,490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06/07/2030</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08/05/2031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21,108</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03/20/2035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9,547</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19.13</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from which certain shares have been previously exercised,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vested as to 25% of the award on January 1, 2026, and the remaining 75% of the option will vest in equal monthly installments thereafter until such time as the options are 100% vested,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L. Parrot,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242026_010758.htm"/>
      <w:bookmarkStart w:id="3" w:name="ksex2407242026_010758"/>
      <w:bookmarkStart w:id="4" w:name="ex24-07242026_010758.htm"/>
      <w:bookmarkStart w:id="5" w:name="ksex2407242026_010758"/>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hereby constitutes and appoints Benjamin L. Oakes and David Parrot, and each of them, as long as they are providing services to Scribe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 xml:space="preserve">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60655"/>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17th day of March,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firstLine="165"/>
        <w:jc w:val="left"/>
        <w:rPr>
          <w:i/>
          <w:sz w:val="22"/>
          <w:u w:val="single"/>
        </w:rPr>
      </w:pPr>
      <w:r>
        <w:rPr>
          <w:i/>
          <w:sz w:val="22"/>
          <w:u w:val="single"/>
        </w:rPr>
        <w:t>/s/ Svetlana Lucas</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Name:  Svetlana Lucas</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81292" TargetMode="External"/><Relationship Id="rId3" Type="http://schemas.openxmlformats.org/officeDocument/2006/relationships/hyperlink" Target="http://www.sec.gov/cgi-bin/browse-edgar?action=getcompany&amp;CIK=000185392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1105</Words>
  <Characters>5875</Characters>
  <CharactersWithSpaces>6884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