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242026_010752.xml.htm"/>
      <w:bookmarkStart w:id="1" w:name="ksform307242026_01075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Oakes Benjamin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SCRIBE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1150 MARINA VILLAGE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ALAMEDA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Scribe Therapeutics, Inc.</w:t>
              </w:r>
            </w:hyperlink>
            <w:r>
              <w:rPr/>
              <w:t xml:space="preserve"> [ </w:t>
            </w:r>
            <w:r>
              <w:rPr>
                <w:rFonts w:ascii="Times;serif" w:hAnsi="Times;serif"/>
                <w:color w:val="0000FF"/>
                <w:sz w:val="24"/>
                <w:shd w:fill="FFFFFF" w:val="clear"/>
              </w:rPr>
              <w:t>SCTX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CEO</w:t>
                  </w:r>
                  <w:r>
                    <w:rPr/>
                    <w:t xml:space="preserve"> / </w:t>
                  </w:r>
                  <w:r>
                    <w:rPr>
                      <w:rFonts w:ascii="Times;serif" w:hAnsi="Times;serif"/>
                      <w:color w:val="0000FF"/>
                      <w:sz w:val="24"/>
                      <w:shd w:fill="FFFFFF" w:val="clear"/>
                    </w:rPr>
                    <w:t>Chairman of the Board</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506,602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06/07/2030</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25,330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03/20/2035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35,462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03/12/2036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12,969</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19.13</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is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vested as to 25% of the award on January 1, 2026, and the remaining 75% of the option will vest in equal monthly installments thereafter until such time as the options are 100% vested,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Benjamin Oakes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7242026_010753.htm"/>
      <w:bookmarkStart w:id="3" w:name="ksex2407242026_010753"/>
      <w:bookmarkStart w:id="4" w:name="ex24-07242026_010753.htm"/>
      <w:bookmarkStart w:id="5" w:name="ksex2407242026_010753"/>
      <w:bookmarkEnd w:id="4"/>
      <w:bookmarkEnd w:id="5"/>
      <w:r>
        <w:br w:type="page"/>
      </w:r>
    </w:p>
    <w:p>
      <w:pPr>
        <w:pStyle w:val="TextBody"/>
        <w:bidi w:val="0"/>
        <w:spacing w:before="0" w:after="0"/>
        <w:ind w:left="0" w:right="0" w:hanging="0"/>
        <w:jc w:val="center"/>
        <w:rPr>
          <w:b/>
          <w:sz w:val="22"/>
        </w:rPr>
      </w:pPr>
      <w:r>
        <w:rPr>
          <w:b/>
          <w:sz w:val="22"/>
        </w:rPr>
        <w:t>LIMITED POWER OF ATTORNEY</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The undersigned hereby constitutes and appoints David Parrot and Svetlana Lucas, and each of them, as long as they are providing services to Scribe Therapeutics Inc. or its related entities (the </w:t>
      </w:r>
      <w:r>
        <w:rPr>
          <w:b/>
          <w:i/>
          <w:sz w:val="22"/>
        </w:rPr>
        <w:t>"Company"</w:t>
      </w:r>
      <w:r>
        <w:rPr>
          <w:sz w:val="22"/>
        </w:rPr>
        <w:t>), the undersigned's true and lawful attorney-in-fact to:</w: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 xml:space="preserve">execute for and on behalf of the undersigned, in the undersigned's capacity as an officer and/or director of the Company, Forms 3, 4 and 5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60655"/>
                <wp:effectExtent l="0" t="0" r="0" b="0"/>
                <wp:wrapSquare wrapText="right"/>
                <wp:docPr id="5" name="Frame1"/>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162050" cy="160655"/>
                <wp:effectExtent l="0" t="0" r="0" b="0"/>
                <wp:wrapSquare wrapText="right"/>
                <wp:docPr id="6" name="Frame2"/>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162050" cy="160655"/>
                <wp:effectExtent l="0" t="0" r="0" b="0"/>
                <wp:wrapSquare wrapText="right"/>
                <wp:docPr id="7" name="Frame3"/>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pPr>
      <w:r>
        <w:rPr/>
      </w:r>
    </w:p>
    <w:p>
      <w:pPr>
        <w:pStyle w:val="TextBody"/>
        <w:bidi w:val="0"/>
        <w:spacing w:before="0" w:after="0"/>
        <w:ind w:left="0" w:right="0" w:firstLine="630"/>
        <w:jc w:val="both"/>
        <w:rPr>
          <w:sz w:val="22"/>
        </w:rPr>
      </w:pPr>
      <w:r>
        <w:rPr>
          <w:sz w:val="22"/>
        </w:rPr>
        <w:t>IN WITNESS WHEREOF, the undersigned has caused this Power of Attorney to be executed as of this 19th day of March,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firstLine="165"/>
        <w:jc w:val="left"/>
        <w:rPr>
          <w:i/>
          <w:sz w:val="22"/>
          <w:u w:val="single"/>
        </w:rPr>
      </w:pPr>
      <w:r>
        <w:rPr>
          <w:i/>
          <w:sz w:val="22"/>
          <w:u w:val="single"/>
        </w:rPr>
        <w:t>/s/ Benjamin L. Oakes</w:t>
      </w:r>
    </w:p>
    <w:p>
      <w:pPr>
        <w:pStyle w:val="TextBody"/>
        <w:pBdr/>
        <w:bidi w:val="0"/>
        <w:spacing w:before="0" w:after="0"/>
        <w:ind w:left="0" w:right="0" w:hanging="0"/>
        <w:jc w:val="left"/>
        <w:rPr>
          <w:sz w:val="22"/>
        </w:rPr>
      </w:pPr>
      <w:r>
        <w:rPr>
          <w:sz w:val="22"/>
        </w:rPr>
        <w:t>Name:  Benjamin . Oakes</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7814" TargetMode="External"/><Relationship Id="rId3" Type="http://schemas.openxmlformats.org/officeDocument/2006/relationships/hyperlink" Target="http://www.sec.gov/cgi-bin/browse-edgar?action=getcompany&amp;CIK=000185392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1083</Words>
  <Characters>5741</Characters>
  <CharactersWithSpaces>6736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