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-07242026_010710.xml.htm"/>
      <w:bookmarkStart w:id="1" w:name="ksform307242026_010710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Staahl Brett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SCRIBE THERAPEUTICS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1150 MARINA VILLAGE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ALAMEDA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Scribe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524,336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1223"/>
        <w:gridCol w:w="1130"/>
        <w:gridCol w:w="1351"/>
        <w:gridCol w:w="938"/>
        <w:gridCol w:w="1267"/>
        <w:gridCol w:w="1230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06/07/2030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2,462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08/05/2031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17,798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03/12/2036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4,755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19.13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03/20/2035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1,688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is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vested as to 25% of the award on January 1, 2026, and the remaining 75% of the option will vest in equal monthly installments thereafter until such time as the options are 100% vested, subject to the Reporting Person's provision of service to the Issuer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Brett Staahl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277" TargetMode="External"/><Relationship Id="rId3" Type="http://schemas.openxmlformats.org/officeDocument/2006/relationships/hyperlink" Target="http://www.sec.gov/cgi-bin/browse-edgar?action=getcompany&amp;CIK=000185392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494</Words>
  <Characters>2654</Characters>
  <CharactersWithSpaces>3072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