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13461ds1mef.htm"/>
      <w:bookmarkStart w:id="1" w:name="ksd113461ds1mef"/>
      <w:bookmarkEnd w:id="0"/>
      <w:bookmarkEnd w:id="1"/>
      <w:r>
        <w:rPr>
          <w:rFonts w:ascii="Times New Roman" w:hAnsi="Times New Roman"/>
          <w:b/>
          <w:sz w:val="20"/>
        </w:rPr>
        <w:t xml:space="preserve">As filed with the Securities and Exchange Commission on July 23,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S-1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SCRIBE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2836</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82-2157847</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(Primary Standard Industrial</w:t>
              <w:br/>
              <w:t>Classification Code Number)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(I.R.S. Employer</w:t>
              <w:b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1150 Marina Village Parkway </w:t>
      </w:r>
    </w:p>
    <w:p>
      <w:pPr>
        <w:pStyle w:val="TextBody"/>
        <w:bidi w:val="0"/>
        <w:spacing w:before="0" w:after="0"/>
        <w:jc w:val="center"/>
        <w:rPr>
          <w:rFonts w:ascii="Times New Roman" w:hAnsi="Times New Roman"/>
          <w:b/>
          <w:sz w:val="20"/>
        </w:rPr>
      </w:pPr>
      <w:r>
        <w:rPr>
          <w:rFonts w:ascii="Times New Roman" w:hAnsi="Times New Roman"/>
          <w:b/>
          <w:sz w:val="20"/>
        </w:rPr>
        <w:t xml:space="preserve">Alameda, California 94501 </w:t>
      </w:r>
    </w:p>
    <w:p>
      <w:pPr>
        <w:pStyle w:val="TextBody"/>
        <w:bidi w:val="0"/>
        <w:spacing w:before="0" w:after="0"/>
        <w:jc w:val="center"/>
        <w:rPr>
          <w:rFonts w:ascii="Times New Roman" w:hAnsi="Times New Roman"/>
          <w:b/>
          <w:sz w:val="20"/>
        </w:rPr>
      </w:pPr>
      <w:r>
        <w:rPr>
          <w:rFonts w:ascii="Times New Roman" w:hAnsi="Times New Roman"/>
          <w:b/>
          <w:sz w:val="20"/>
        </w:rPr>
        <w:t xml:space="preserve">(510) 626-8587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Benjamin L. Oakes, Ph.D.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1150 Marina Village Parkway </w:t>
      </w:r>
    </w:p>
    <w:p>
      <w:pPr>
        <w:pStyle w:val="TextBody"/>
        <w:bidi w:val="0"/>
        <w:spacing w:before="0" w:after="0"/>
        <w:jc w:val="center"/>
        <w:rPr>
          <w:rFonts w:ascii="Times New Roman" w:hAnsi="Times New Roman"/>
          <w:b/>
          <w:sz w:val="20"/>
        </w:rPr>
      </w:pPr>
      <w:r>
        <w:rPr>
          <w:rFonts w:ascii="Times New Roman" w:hAnsi="Times New Roman"/>
          <w:b/>
          <w:sz w:val="20"/>
        </w:rPr>
        <w:t xml:space="preserve">Alameda, California 94501 </w:t>
      </w:r>
    </w:p>
    <w:p>
      <w:pPr>
        <w:pStyle w:val="TextBody"/>
        <w:bidi w:val="0"/>
        <w:spacing w:before="0" w:after="0"/>
        <w:jc w:val="center"/>
        <w:rPr>
          <w:rFonts w:ascii="Times New Roman" w:hAnsi="Times New Roman"/>
          <w:b/>
          <w:sz w:val="20"/>
        </w:rPr>
      </w:pPr>
      <w:r>
        <w:rPr>
          <w:rFonts w:ascii="Times New Roman" w:hAnsi="Times New Roman"/>
          <w:b/>
          <w:sz w:val="20"/>
        </w:rPr>
        <w:t xml:space="preserve">(510) 626-8587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Effie Toshav</w:t>
              <w:br/>
              <w:t>Robert A. Freedman</w:t>
              <w:br/>
              <w:t>Ryan Mitteness</w:t>
              <w:br/>
              <w:t>Fenwick &amp; West LLP</w:t>
              <w:br/>
              <w:t>401 Union Street</w:t>
              <w:br/>
              <w:t>5th Floor</w:t>
              <w:br/>
              <w:t>Seattle, Washington 98101</w:t>
              <w:br/>
              <w:t>(206) 389-4510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B. Shayne Kennedy</w:t>
            </w:r>
          </w:p>
          <w:p>
            <w:pPr>
              <w:pStyle w:val="TableContents"/>
              <w:bidi w:val="0"/>
              <w:spacing w:before="0" w:after="0"/>
              <w:jc w:val="center"/>
              <w:rPr>
                <w:rFonts w:ascii="Times New Roman" w:hAnsi="Times New Roman"/>
                <w:b/>
                <w:sz w:val="20"/>
              </w:rPr>
            </w:pPr>
            <w:r>
              <w:rPr>
                <w:rFonts w:ascii="Times New Roman" w:hAnsi="Times New Roman"/>
                <w:b/>
                <w:sz w:val="20"/>
              </w:rPr>
              <w:t>Ross McAloon</w:t>
            </w:r>
          </w:p>
          <w:p>
            <w:pPr>
              <w:pStyle w:val="TableContents"/>
              <w:bidi w:val="0"/>
              <w:spacing w:before="0" w:after="0"/>
              <w:jc w:val="center"/>
              <w:rPr>
                <w:rFonts w:ascii="Times New Roman" w:hAnsi="Times New Roman"/>
                <w:b/>
                <w:sz w:val="20"/>
              </w:rPr>
            </w:pPr>
            <w:r>
              <w:rPr>
                <w:rFonts w:ascii="Times New Roman" w:hAnsi="Times New Roman"/>
                <w:b/>
                <w:sz w:val="20"/>
              </w:rPr>
              <w:t>Latham &amp; Watkins LLP</w:t>
            </w:r>
          </w:p>
          <w:p>
            <w:pPr>
              <w:pStyle w:val="TableContents"/>
              <w:bidi w:val="0"/>
              <w:spacing w:before="0" w:after="0"/>
              <w:jc w:val="center"/>
              <w:rPr>
                <w:rFonts w:ascii="Times New Roman" w:hAnsi="Times New Roman"/>
                <w:b/>
                <w:sz w:val="20"/>
              </w:rPr>
            </w:pPr>
            <w:r>
              <w:rPr>
                <w:rFonts w:ascii="Times New Roman" w:hAnsi="Times New Roman"/>
                <w:b/>
                <w:sz w:val="20"/>
              </w:rPr>
              <w:t>650 Town Center Drive</w:t>
            </w:r>
          </w:p>
          <w:p>
            <w:pPr>
              <w:pStyle w:val="TableContents"/>
              <w:bidi w:val="0"/>
              <w:spacing w:before="0" w:after="0"/>
              <w:jc w:val="center"/>
              <w:rPr>
                <w:rFonts w:ascii="Times New Roman" w:hAnsi="Times New Roman"/>
                <w:b/>
                <w:sz w:val="20"/>
              </w:rPr>
            </w:pPr>
            <w:r>
              <w:rPr>
                <w:rFonts w:ascii="Times New Roman" w:hAnsi="Times New Roman"/>
                <w:b/>
                <w:sz w:val="20"/>
              </w:rPr>
              <w:t>20th Floor</w:t>
            </w:r>
          </w:p>
          <w:p>
            <w:pPr>
              <w:pStyle w:val="TableContents"/>
              <w:bidi w:val="0"/>
              <w:spacing w:before="0" w:after="0"/>
              <w:jc w:val="center"/>
              <w:rPr>
                <w:rFonts w:ascii="Times New Roman" w:hAnsi="Times New Roman"/>
                <w:b/>
                <w:sz w:val="20"/>
              </w:rPr>
            </w:pPr>
            <w:r>
              <w:rPr>
                <w:rFonts w:ascii="Times New Roman" w:hAnsi="Times New Roman"/>
                <w:b/>
                <w:sz w:val="20"/>
              </w:rPr>
              <w:t>Costa Mesa, California 92626</w:t>
            </w:r>
          </w:p>
          <w:p>
            <w:pPr>
              <w:pStyle w:val="TableContents"/>
              <w:bidi w:val="0"/>
              <w:spacing w:before="0" w:after="20"/>
              <w:jc w:val="center"/>
              <w:rPr>
                <w:rFonts w:ascii="Times New Roman" w:hAnsi="Times New Roman"/>
                <w:b/>
                <w:sz w:val="20"/>
              </w:rPr>
            </w:pPr>
            <w:r>
              <w:rPr>
                <w:rFonts w:ascii="Times New Roman" w:hAnsi="Times New Roman"/>
                <w:b/>
                <w:sz w:val="20"/>
              </w:rPr>
              <w:t>(714) 540-1235</w:t>
            </w:r>
          </w:p>
        </w:tc>
      </w:tr>
    </w:tbl>
    <w:p>
      <w:pPr>
        <w:pStyle w:val="TextBody"/>
        <w:bidi w:val="0"/>
        <w:spacing w:before="240" w:after="0"/>
        <w:jc w:val="center"/>
        <w:rPr>
          <w:rFonts w:ascii="Times New Roman" w:hAnsi="Times New Roman"/>
          <w:b/>
          <w:sz w:val="16"/>
        </w:rPr>
      </w:pPr>
      <w:r>
        <w:rPr>
          <w:rFonts w:ascii="Times New Roman" w:hAnsi="Times New Roman"/>
          <w:b/>
          <w:sz w:val="16"/>
        </w:rPr>
        <w:t xml:space="preserve">Approximate date of commencement of proposed sale to the public: </w:t>
      </w:r>
    </w:p>
    <w:p>
      <w:pPr>
        <w:pStyle w:val="TextBody"/>
        <w:bidi w:val="0"/>
        <w:spacing w:before="0" w:after="0"/>
        <w:jc w:val="center"/>
        <w:rPr>
          <w:rFonts w:ascii="Times New Roman" w:hAnsi="Times New Roman"/>
          <w:b/>
          <w:sz w:val="16"/>
        </w:rPr>
      </w:pPr>
      <w:r>
        <w:rPr>
          <w:rFonts w:ascii="Times New Roman" w:hAnsi="Times New Roman"/>
          <w:b/>
          <w:sz w:val="16"/>
        </w:rPr>
        <w:t xml:space="preserve">As soon as practicable after the effective date of this registration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333-297246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240" w:after="0"/>
        <w:jc w:val="left"/>
        <w:rPr>
          <w:rFonts w:ascii="Times New Roman" w:hAnsi="Times New Roman"/>
          <w:b/>
          <w:sz w:val="20"/>
        </w:rPr>
      </w:pPr>
      <w:r>
        <w:rPr>
          <w:rFonts w:ascii="Times New Roman" w:hAnsi="Times New Roman"/>
          <w:b/>
          <w:sz w:val="20"/>
        </w:rPr>
        <w:t xml:space="preserve">This Registration Statement shall become effective upon filing in accordance with Rule 462(b) under the Securities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AND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Pursuant to Rule 462(b) under the Securities Act of 1933, as amended, Scribe Therapeutics Inc. (the “</w:t>
      </w:r>
      <w:r>
        <w:rPr>
          <w:rFonts w:ascii="Times New Roman" w:hAnsi="Times New Roman"/>
          <w:b/>
          <w:i/>
          <w:sz w:val="20"/>
        </w:rPr>
        <w:t>Registrant</w:t>
      </w:r>
      <w:r>
        <w:rPr>
          <w:rFonts w:ascii="Times New Roman" w:hAnsi="Times New Roman"/>
          <w:sz w:val="20"/>
        </w:rPr>
        <w:t>”) is filing this Registration Statement on Form S-1 (this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This Registration Statement relates to the public offering of securities contemplated by the Registration Statement on Form S-1, as amended (File No. 333-297246), which the Registrant originally filed with the Commission on July 2, 2026 and subsequently amended on July 10, 2026 and July 20, 2026 (as so amended, the “</w:t>
      </w:r>
      <w:r>
        <w:rPr>
          <w:rFonts w:ascii="Times New Roman" w:hAnsi="Times New Roman"/>
          <w:b/>
          <w:i/>
          <w:sz w:val="20"/>
        </w:rPr>
        <w:t>Prior</w:t>
      </w:r>
      <w:r>
        <w:rPr>
          <w:rFonts w:ascii="Times New Roman" w:hAnsi="Times New Roman"/>
          <w:sz w:val="20"/>
        </w:rPr>
        <w:t xml:space="preserve"> </w:t>
      </w:r>
      <w:r>
        <w:rPr>
          <w:rFonts w:ascii="Times New Roman" w:hAnsi="Times New Roman"/>
          <w:b/>
          <w:i/>
          <w:sz w:val="20"/>
        </w:rPr>
        <w:t>Registration Statement</w:t>
      </w:r>
      <w:r>
        <w:rPr>
          <w:rFonts w:ascii="Times New Roman" w:hAnsi="Times New Roman"/>
          <w:sz w:val="20"/>
        </w:rPr>
        <w:t xml:space="preserve">”), and which the Commission declared effective on July 23, 2026.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is filing this Registration Statement for the sole purpose of registering an additional $24,667,500 of shares of common stock, par value of $0.001 per share, which includes additional shares of common stock that the underwriters have the option to purchase. The additional shares of common stock that are being registered for issuance and sale are in an amount and at a price that together represent no more than 20% of the maximum aggregate offering price set forth in the Filing Fee Table (Exhibit 107) contained in the Prior Registration Statement. The information set forth in the Prior Registration Statement and all exhibits to the Prior Registration Statement are incorporated by reference into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required opinion and consents are listed on the Exhibit Index attached hereto and filed herewith.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
        <w:gridCol w:w="415"/>
        <w:gridCol w:w="9173"/>
      </w:tblGrid>
      <w:tr>
        <w:trPr/>
        <w:tc>
          <w:tcPr>
            <w:tcW w:w="617"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9173"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415" w:type="dxa"/>
            <w:tcBorders/>
            <w:vAlign w:val="bottom"/>
          </w:tcPr>
          <w:p>
            <w:pPr>
              <w:pStyle w:val="TableContents"/>
              <w:bidi w:val="0"/>
              <w:spacing w:before="0" w:after="283"/>
              <w:jc w:val="left"/>
              <w:rPr/>
            </w:pPr>
            <w:r>
              <w:rPr/>
              <w:t>  </w:t>
            </w:r>
          </w:p>
        </w:tc>
        <w:tc>
          <w:tcPr>
            <w:tcW w:w="91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5.1</w:t>
            </w:r>
          </w:p>
        </w:tc>
        <w:tc>
          <w:tcPr>
            <w:tcW w:w="415"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hyperlink w:anchor="d113461dex51.htm">
              <w:r>
                <w:rPr>
                  <w:rStyle w:val="InternetLink"/>
                </w:rPr>
                <w:t xml:space="preserve">Opinion of Fenwick &amp; West LLP.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23.1</w:t>
            </w:r>
          </w:p>
        </w:tc>
        <w:tc>
          <w:tcPr>
            <w:tcW w:w="415"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hyperlink w:anchor="d113461dex231.htm">
              <w:r>
                <w:rPr>
                  <w:rStyle w:val="InternetLink"/>
                </w:rPr>
                <w:t xml:space="preserve">Consent of Deloitte &amp; Touche LLP, Independent Registered Public Accounting Firm.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23.2</w:t>
            </w:r>
          </w:p>
        </w:tc>
        <w:tc>
          <w:tcPr>
            <w:tcW w:w="415"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hyperlink w:anchor="d113461dex51.htm">
              <w:r>
                <w:rPr>
                  <w:rStyle w:val="InternetLink"/>
                </w:rPr>
                <w:t xml:space="preserve">Consent of Fenwick &amp; West LLP (included in Exhibit 5.1).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 </w:t>
            </w:r>
            <w:r>
              <w:rPr/>
              <w:t>24.1</w:t>
            </w:r>
          </w:p>
        </w:tc>
        <w:tc>
          <w:tcPr>
            <w:tcW w:w="415"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r>
              <w:fldChar w:fldCharType="begin"/>
            </w:r>
            <w:r>
              <w:rPr>
                <w:rStyle w:val="InternetLink"/>
              </w:rPr>
              <w:instrText xml:space="preserve"> HYPERLINK "http://www.sec.gov/Archives/edgar/data/1853921/000119312526294804/d21355ds1.htm" \l "poa"</w:instrText>
            </w:r>
            <w:r>
              <w:rPr>
                <w:rStyle w:val="InternetLink"/>
              </w:rPr>
              <w:fldChar w:fldCharType="separate"/>
            </w:r>
            <w:r>
              <w:rPr>
                <w:rStyle w:val="InternetLink"/>
              </w:rPr>
              <w:t xml:space="preserve">Power of Attorney (incorporated by reference to Exhibit 24.1 to the Registration Statement on Form S-1 filed on July 2, 2026 (Registration No. 333-297246)). </w:t>
            </w:r>
            <w:r>
              <w:rPr>
                <w:rStyle w:val="InternetLink"/>
              </w:rPr>
              <w:fldChar w:fldCharType="end"/>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107</w:t>
            </w:r>
          </w:p>
        </w:tc>
        <w:tc>
          <w:tcPr>
            <w:tcW w:w="415" w:type="dxa"/>
            <w:tcBorders/>
            <w:vAlign w:val="bottom"/>
          </w:tcPr>
          <w:p>
            <w:pPr>
              <w:pStyle w:val="TableContents"/>
              <w:bidi w:val="0"/>
              <w:spacing w:before="0" w:after="283"/>
              <w:jc w:val="left"/>
              <w:rPr/>
            </w:pPr>
            <w:r>
              <w:rPr/>
              <w:t>  </w:t>
            </w:r>
          </w:p>
        </w:tc>
        <w:tc>
          <w:tcPr>
            <w:tcW w:w="9173" w:type="dxa"/>
            <w:tcBorders/>
          </w:tcPr>
          <w:p>
            <w:pPr>
              <w:pStyle w:val="TableContents"/>
              <w:bidi w:val="0"/>
              <w:spacing w:before="0" w:after="283"/>
              <w:jc w:val="left"/>
              <w:rPr/>
            </w:pPr>
            <w:hyperlink w:anchor="d113461dexfilingfees.htm">
              <w:r>
                <w:rPr>
                  <w:rStyle w:val="InternetLink"/>
                </w:rPr>
                <w:t xml:space="preserve">Filing Fee Tables.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the City of Alameda, State of California, on the 23rd day of July,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SCRIBE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Benjamin L. Oakes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Benjamin L. Oakes,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i/>
              </w:rPr>
            </w:pPr>
            <w:r>
              <w:rPr>
                <w:i/>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17"/>
        <w:gridCol w:w="120"/>
        <w:gridCol w:w="4366"/>
        <w:gridCol w:w="106"/>
        <w:gridCol w:w="1796"/>
      </w:tblGrid>
      <w:tr>
        <w:trPr/>
        <w:tc>
          <w:tcPr>
            <w:tcW w:w="38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38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7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817" w:type="dxa"/>
            <w:tcBorders/>
            <w:vAlign w:val="center"/>
          </w:tcPr>
          <w:p>
            <w:pPr>
              <w:pStyle w:val="TableContents"/>
              <w:bidi w:val="0"/>
              <w:spacing w:before="0" w:after="283"/>
              <w:jc w:val="left"/>
              <w:rPr>
                <w:sz w:val="4"/>
                <w:szCs w:val="4"/>
              </w:rPr>
            </w:pPr>
            <w:r>
              <w:rPr>
                <w:sz w:val="4"/>
                <w:szCs w:val="4"/>
              </w:rPr>
            </w:r>
          </w:p>
        </w:tc>
        <w:tc>
          <w:tcPr>
            <w:tcW w:w="4486"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81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Benjamin L. Oakes</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center"/>
              <w:rPr/>
            </w:pPr>
            <w:r>
              <w:rPr/>
              <w:t>President, Chief Executive Officer and Director</w:t>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center"/>
              <w:rPr/>
            </w:pPr>
            <w:r>
              <w:rPr/>
              <w:t>July 23, 2026</w:t>
            </w:r>
          </w:p>
        </w:tc>
      </w:tr>
      <w:tr>
        <w:trPr/>
        <w:tc>
          <w:tcPr>
            <w:tcW w:w="3817" w:type="dxa"/>
            <w:tcBorders/>
          </w:tcPr>
          <w:p>
            <w:pPr>
              <w:pStyle w:val="TableContents"/>
              <w:bidi w:val="0"/>
              <w:spacing w:before="0" w:after="283"/>
              <w:jc w:val="center"/>
              <w:rPr/>
            </w:pPr>
            <w:r>
              <w:rPr/>
              <w:t>Benjamin L. Oakes, Ph.D.</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center"/>
              <w:rPr>
                <w:i/>
              </w:rPr>
            </w:pPr>
            <w:r>
              <w:rPr>
                <w:i/>
              </w:rPr>
              <w:t>(Principal Executive Officer)</w:t>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left"/>
              <w:rPr>
                <w:sz w:val="4"/>
                <w:szCs w:val="4"/>
              </w:rPr>
            </w:pPr>
            <w:r>
              <w:rPr>
                <w:sz w:val="4"/>
                <w:szCs w:val="4"/>
              </w:rPr>
            </w:r>
          </w:p>
        </w:tc>
      </w:tr>
      <w:tr>
        <w:trPr>
          <w:trHeight w:val="240" w:hRule="atLeast"/>
        </w:trPr>
        <w:tc>
          <w:tcPr>
            <w:tcW w:w="3817" w:type="dxa"/>
            <w:tcBorders/>
            <w:vAlign w:val="center"/>
          </w:tcPr>
          <w:p>
            <w:pPr>
              <w:pStyle w:val="TableContents"/>
              <w:bidi w:val="0"/>
              <w:spacing w:before="0" w:after="283"/>
              <w:jc w:val="left"/>
              <w:rPr>
                <w:sz w:val="4"/>
                <w:szCs w:val="4"/>
              </w:rPr>
            </w:pPr>
            <w:r>
              <w:rPr>
                <w:sz w:val="4"/>
                <w:szCs w:val="4"/>
              </w:rPr>
            </w:r>
          </w:p>
        </w:tc>
        <w:tc>
          <w:tcPr>
            <w:tcW w:w="4486"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81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David L. Parrot</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center"/>
              <w:rPr/>
            </w:pPr>
            <w:r>
              <w:rPr/>
              <w:t>Chief Financial Officer and Treasurer</w:t>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center"/>
              <w:rPr/>
            </w:pPr>
            <w:r>
              <w:rPr/>
              <w:t>July 23, 2026</w:t>
            </w:r>
          </w:p>
        </w:tc>
      </w:tr>
      <w:tr>
        <w:trPr/>
        <w:tc>
          <w:tcPr>
            <w:tcW w:w="3817" w:type="dxa"/>
            <w:tcBorders/>
          </w:tcPr>
          <w:p>
            <w:pPr>
              <w:pStyle w:val="TableContents"/>
              <w:bidi w:val="0"/>
              <w:spacing w:before="0" w:after="283"/>
              <w:jc w:val="center"/>
              <w:rPr/>
            </w:pPr>
            <w:r>
              <w:rPr/>
              <w:t>David L. Parrot</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center"/>
              <w:rPr>
                <w:i/>
              </w:rPr>
            </w:pPr>
            <w:r>
              <w:rPr>
                <w:i/>
              </w:rPr>
              <w:t>(Principal Financial Officer and Accounting Officer)</w:t>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left"/>
              <w:rPr>
                <w:sz w:val="4"/>
                <w:szCs w:val="4"/>
              </w:rPr>
            </w:pPr>
            <w:r>
              <w:rPr>
                <w:sz w:val="4"/>
                <w:szCs w:val="4"/>
              </w:rPr>
            </w:r>
          </w:p>
        </w:tc>
      </w:tr>
      <w:tr>
        <w:trPr>
          <w:trHeight w:val="240" w:hRule="atLeast"/>
        </w:trPr>
        <w:tc>
          <w:tcPr>
            <w:tcW w:w="3817" w:type="dxa"/>
            <w:tcBorders/>
            <w:vAlign w:val="center"/>
          </w:tcPr>
          <w:p>
            <w:pPr>
              <w:pStyle w:val="TableContents"/>
              <w:bidi w:val="0"/>
              <w:spacing w:before="0" w:after="283"/>
              <w:jc w:val="left"/>
              <w:rPr>
                <w:sz w:val="4"/>
                <w:szCs w:val="4"/>
              </w:rPr>
            </w:pPr>
            <w:r>
              <w:rPr>
                <w:sz w:val="4"/>
                <w:szCs w:val="4"/>
              </w:rPr>
            </w:r>
          </w:p>
        </w:tc>
        <w:tc>
          <w:tcPr>
            <w:tcW w:w="4486"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817" w:type="dxa"/>
            <w:tcBorders>
              <w:bottom w:val="single" w:sz="2" w:space="0" w:color="000000"/>
            </w:tcBorders>
            <w:tcMar>
              <w:bottom w:w="28" w:type="dxa"/>
            </w:tcMar>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center"/>
              <w:rPr/>
            </w:pPr>
            <w:r>
              <w:rPr/>
              <w:t>July 23, 2026</w:t>
            </w:r>
          </w:p>
        </w:tc>
      </w:tr>
      <w:tr>
        <w:trPr/>
        <w:tc>
          <w:tcPr>
            <w:tcW w:w="3817" w:type="dxa"/>
            <w:tcBorders/>
          </w:tcPr>
          <w:p>
            <w:pPr>
              <w:pStyle w:val="TableContents"/>
              <w:bidi w:val="0"/>
              <w:spacing w:before="0" w:after="283"/>
              <w:jc w:val="center"/>
              <w:rPr/>
            </w:pPr>
            <w:r>
              <w:rPr/>
              <w:t>James Watson, M.B.A.</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left"/>
              <w:rPr>
                <w:sz w:val="4"/>
                <w:szCs w:val="4"/>
              </w:rPr>
            </w:pPr>
            <w:r>
              <w:rPr>
                <w:sz w:val="4"/>
                <w:szCs w:val="4"/>
              </w:rPr>
            </w:r>
          </w:p>
        </w:tc>
      </w:tr>
      <w:tr>
        <w:trPr>
          <w:trHeight w:val="240" w:hRule="atLeast"/>
        </w:trPr>
        <w:tc>
          <w:tcPr>
            <w:tcW w:w="3817" w:type="dxa"/>
            <w:tcBorders/>
            <w:vAlign w:val="center"/>
          </w:tcPr>
          <w:p>
            <w:pPr>
              <w:pStyle w:val="TableContents"/>
              <w:bidi w:val="0"/>
              <w:spacing w:before="0" w:after="283"/>
              <w:jc w:val="left"/>
              <w:rPr>
                <w:sz w:val="4"/>
                <w:szCs w:val="4"/>
              </w:rPr>
            </w:pPr>
            <w:r>
              <w:rPr>
                <w:sz w:val="4"/>
                <w:szCs w:val="4"/>
              </w:rPr>
            </w:r>
          </w:p>
        </w:tc>
        <w:tc>
          <w:tcPr>
            <w:tcW w:w="4486"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817" w:type="dxa"/>
            <w:tcBorders>
              <w:bottom w:val="single" w:sz="2" w:space="0" w:color="000000"/>
            </w:tcBorders>
            <w:tcMar>
              <w:bottom w:w="28" w:type="dxa"/>
            </w:tcMar>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center"/>
              <w:rPr/>
            </w:pPr>
            <w:r>
              <w:rPr/>
              <w:t>July 23, 2026</w:t>
            </w:r>
          </w:p>
        </w:tc>
      </w:tr>
      <w:tr>
        <w:trPr/>
        <w:tc>
          <w:tcPr>
            <w:tcW w:w="3817" w:type="dxa"/>
            <w:tcBorders/>
          </w:tcPr>
          <w:p>
            <w:pPr>
              <w:pStyle w:val="TableContents"/>
              <w:bidi w:val="0"/>
              <w:spacing w:before="0" w:after="283"/>
              <w:jc w:val="center"/>
              <w:rPr/>
            </w:pPr>
            <w:r>
              <w:rPr/>
              <w:t>Behzad Aghazadeh, Ph.D.</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left"/>
              <w:rPr>
                <w:sz w:val="4"/>
                <w:szCs w:val="4"/>
              </w:rPr>
            </w:pPr>
            <w:r>
              <w:rPr>
                <w:sz w:val="4"/>
                <w:szCs w:val="4"/>
              </w:rPr>
            </w:r>
          </w:p>
        </w:tc>
      </w:tr>
      <w:tr>
        <w:trPr>
          <w:trHeight w:val="240" w:hRule="atLeast"/>
        </w:trPr>
        <w:tc>
          <w:tcPr>
            <w:tcW w:w="3817" w:type="dxa"/>
            <w:tcBorders/>
            <w:vAlign w:val="center"/>
          </w:tcPr>
          <w:p>
            <w:pPr>
              <w:pStyle w:val="TableContents"/>
              <w:bidi w:val="0"/>
              <w:spacing w:before="0" w:after="283"/>
              <w:jc w:val="left"/>
              <w:rPr>
                <w:sz w:val="4"/>
                <w:szCs w:val="4"/>
              </w:rPr>
            </w:pPr>
            <w:r>
              <w:rPr>
                <w:sz w:val="4"/>
                <w:szCs w:val="4"/>
              </w:rPr>
            </w:r>
          </w:p>
        </w:tc>
        <w:tc>
          <w:tcPr>
            <w:tcW w:w="4486"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817" w:type="dxa"/>
            <w:tcBorders>
              <w:bottom w:val="single" w:sz="2" w:space="0" w:color="000000"/>
            </w:tcBorders>
            <w:tcMar>
              <w:bottom w:w="28" w:type="dxa"/>
            </w:tcMar>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center"/>
              <w:rPr/>
            </w:pPr>
            <w:r>
              <w:rPr/>
              <w:t>July 23, 2026</w:t>
            </w:r>
          </w:p>
        </w:tc>
      </w:tr>
      <w:tr>
        <w:trPr/>
        <w:tc>
          <w:tcPr>
            <w:tcW w:w="3817" w:type="dxa"/>
            <w:tcBorders/>
          </w:tcPr>
          <w:p>
            <w:pPr>
              <w:pStyle w:val="TableContents"/>
              <w:bidi w:val="0"/>
              <w:spacing w:before="0" w:after="283"/>
              <w:jc w:val="center"/>
              <w:rPr/>
            </w:pPr>
            <w:r>
              <w:rPr/>
              <w:t>Carl L. Gordon, Ph.D., CFA</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left"/>
              <w:rPr>
                <w:sz w:val="4"/>
                <w:szCs w:val="4"/>
              </w:rPr>
            </w:pPr>
            <w:r>
              <w:rPr>
                <w:sz w:val="4"/>
                <w:szCs w:val="4"/>
              </w:rPr>
            </w:r>
          </w:p>
        </w:tc>
      </w:tr>
      <w:tr>
        <w:trPr>
          <w:trHeight w:val="240" w:hRule="atLeast"/>
        </w:trPr>
        <w:tc>
          <w:tcPr>
            <w:tcW w:w="3817" w:type="dxa"/>
            <w:tcBorders/>
            <w:vAlign w:val="center"/>
          </w:tcPr>
          <w:p>
            <w:pPr>
              <w:pStyle w:val="TableContents"/>
              <w:bidi w:val="0"/>
              <w:spacing w:before="0" w:after="283"/>
              <w:jc w:val="left"/>
              <w:rPr>
                <w:sz w:val="4"/>
                <w:szCs w:val="4"/>
              </w:rPr>
            </w:pPr>
            <w:r>
              <w:rPr>
                <w:sz w:val="4"/>
                <w:szCs w:val="4"/>
              </w:rPr>
            </w:r>
          </w:p>
        </w:tc>
        <w:tc>
          <w:tcPr>
            <w:tcW w:w="4486" w:type="dxa"/>
            <w:gridSpan w:val="2"/>
            <w:tcBorders/>
            <w:vAlign w:val="center"/>
          </w:tcPr>
          <w:p>
            <w:pPr>
              <w:pStyle w:val="TableContents"/>
              <w:bidi w:val="0"/>
              <w:spacing w:before="0" w:after="283"/>
              <w:jc w:val="left"/>
              <w:rPr>
                <w:sz w:val="4"/>
                <w:szCs w:val="4"/>
              </w:rPr>
            </w:pPr>
            <w:r>
              <w:rPr>
                <w:sz w:val="4"/>
                <w:szCs w:val="4"/>
              </w:rPr>
            </w:r>
          </w:p>
        </w:tc>
        <w:tc>
          <w:tcPr>
            <w:tcW w:w="1902" w:type="dxa"/>
            <w:gridSpan w:val="2"/>
            <w:tcBorders/>
            <w:vAlign w:val="center"/>
          </w:tcPr>
          <w:p>
            <w:pPr>
              <w:pStyle w:val="TableContents"/>
              <w:bidi w:val="0"/>
              <w:spacing w:before="0" w:after="283"/>
              <w:jc w:val="left"/>
              <w:rPr>
                <w:sz w:val="4"/>
                <w:szCs w:val="4"/>
              </w:rPr>
            </w:pPr>
            <w:r>
              <w:rPr>
                <w:sz w:val="4"/>
                <w:szCs w:val="4"/>
              </w:rPr>
            </w:r>
          </w:p>
        </w:tc>
      </w:tr>
      <w:tr>
        <w:trPr/>
        <w:tc>
          <w:tcPr>
            <w:tcW w:w="3817"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Joshua Bleharski</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center"/>
              <w:rPr/>
            </w:pPr>
            <w:r>
              <w:rPr/>
              <w:t>July 23, 2026</w:t>
            </w:r>
          </w:p>
        </w:tc>
      </w:tr>
      <w:tr>
        <w:trPr/>
        <w:tc>
          <w:tcPr>
            <w:tcW w:w="3817" w:type="dxa"/>
            <w:tcBorders/>
          </w:tcPr>
          <w:p>
            <w:pPr>
              <w:pStyle w:val="TableContents"/>
              <w:bidi w:val="0"/>
              <w:spacing w:before="0" w:after="283"/>
              <w:jc w:val="center"/>
              <w:rPr/>
            </w:pPr>
            <w:r>
              <w:rPr/>
              <w:t>Joshua Bleharski, Ph.D., M.B.A.</w:t>
            </w:r>
          </w:p>
        </w:tc>
        <w:tc>
          <w:tcPr>
            <w:tcW w:w="120"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79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5"/>
        <w:gridCol w:w="60"/>
        <w:gridCol w:w="3477"/>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7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45" w:type="dxa"/>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center"/>
              <w:rPr/>
            </w:pPr>
            <w:r>
              <w:rPr/>
              <w:t>* 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77" w:type="dxa"/>
            <w:tcBorders>
              <w:bottom w:val="single" w:sz="2" w:space="0" w:color="000000"/>
            </w:tcBorders>
            <w:tcMar>
              <w:bottom w:w="28" w:type="dxa"/>
            </w:tcMar>
          </w:tcPr>
          <w:p>
            <w:pPr>
              <w:pStyle w:val="TableContents"/>
              <w:bidi w:val="0"/>
              <w:spacing w:before="0" w:after="283"/>
              <w:jc w:val="left"/>
              <w:rPr/>
            </w:pPr>
            <w:r>
              <w:rPr/>
              <w:t>/s/ Benjamin L. Oakes</w:t>
            </w:r>
          </w:p>
        </w:tc>
      </w:tr>
      <w:tr>
        <w:trPr/>
        <w:tc>
          <w:tcPr>
            <w:tcW w:w="5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77" w:type="dxa"/>
            <w:tcBorders/>
            <w:vAlign w:val="bottom"/>
          </w:tcPr>
          <w:p>
            <w:pPr>
              <w:pStyle w:val="TableContents"/>
              <w:bidi w:val="0"/>
              <w:spacing w:before="0" w:after="283"/>
              <w:jc w:val="left"/>
              <w:rPr/>
            </w:pPr>
            <w:r>
              <w:rPr/>
              <w:t>Benjamin L. Oakes, Ph.D.</w:t>
            </w:r>
          </w:p>
        </w:tc>
      </w:tr>
      <w:tr>
        <w:trPr>
          <w:trHeight w:val="240" w:hRule="atLeast"/>
        </w:trPr>
        <w:tc>
          <w:tcPr>
            <w:tcW w:w="545" w:type="dxa"/>
            <w:tcBorders/>
            <w:vAlign w:val="center"/>
          </w:tcPr>
          <w:p>
            <w:pPr>
              <w:pStyle w:val="TableContents"/>
              <w:bidi w:val="0"/>
              <w:spacing w:before="0" w:after="283"/>
              <w:jc w:val="left"/>
              <w:rPr>
                <w:sz w:val="4"/>
                <w:szCs w:val="4"/>
              </w:rPr>
            </w:pPr>
            <w:r>
              <w:rPr>
                <w:sz w:val="4"/>
                <w:szCs w:val="4"/>
              </w:rPr>
            </w:r>
          </w:p>
        </w:tc>
        <w:tc>
          <w:tcPr>
            <w:tcW w:w="3537"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77" w:type="dxa"/>
            <w:tcBorders/>
            <w:vAlign w:val="bottom"/>
          </w:tcPr>
          <w:p>
            <w:pPr>
              <w:pStyle w:val="TableContents"/>
              <w:bidi w:val="0"/>
              <w:spacing w:before="0" w:after="283"/>
              <w:jc w:val="left"/>
              <w:rPr/>
            </w:pPr>
            <w:r>
              <w:rPr/>
              <w:t>Attorney-in-Fact</w:t>
            </w:r>
          </w:p>
        </w:tc>
      </w:tr>
    </w:tbl>
    <w:p>
      <w:pPr>
        <w:pStyle w:val="TextBody"/>
        <w:bidi w:val="0"/>
        <w:spacing w:before="0" w:after="0"/>
        <w:jc w:val="right"/>
        <w:rPr>
          <w:rFonts w:ascii="Times New Roman" w:hAnsi="Times New Roman"/>
          <w:b/>
          <w:sz w:val="20"/>
        </w:rPr>
      </w:pPr>
      <w:bookmarkStart w:id="2" w:name="d113461dex51.htm"/>
      <w:bookmarkStart w:id="3" w:name="ksd113461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81"/>
        <w:gridCol w:w="120"/>
        <w:gridCol w:w="5104"/>
      </w:tblGrid>
      <w:tr>
        <w:trPr/>
        <w:tc>
          <w:tcPr>
            <w:tcW w:w="49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04" w:type="dxa"/>
            <w:tcBorders/>
            <w:vAlign w:val="center"/>
          </w:tcPr>
          <w:p>
            <w:pPr>
              <w:pStyle w:val="TableContents"/>
              <w:bidi w:val="0"/>
              <w:spacing w:before="0" w:after="283"/>
              <w:jc w:val="left"/>
              <w:rPr>
                <w:sz w:val="4"/>
                <w:szCs w:val="4"/>
              </w:rPr>
            </w:pPr>
            <w:r>
              <w:rPr>
                <w:sz w:val="4"/>
                <w:szCs w:val="4"/>
              </w:rPr>
            </w:r>
          </w:p>
        </w:tc>
      </w:tr>
      <w:tr>
        <w:trPr/>
        <w:tc>
          <w:tcPr>
            <w:tcW w:w="4981" w:type="dxa"/>
            <w:tcBorders/>
          </w:tcPr>
          <w:p>
            <w:pPr>
              <w:pStyle w:val="TableContents"/>
              <w:bidi w:val="0"/>
              <w:spacing w:before="0" w:after="283"/>
              <w:jc w:val="left"/>
              <w:rPr/>
            </w:pPr>
            <w:r>
              <w:rPr/>
              <w:drawing>
                <wp:inline distT="0" distB="0" distL="0" distR="0">
                  <wp:extent cx="17811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191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104" w:type="dxa"/>
            <w:tcBorders/>
          </w:tcPr>
          <w:p>
            <w:pPr>
              <w:pStyle w:val="TableContents"/>
              <w:bidi w:val="0"/>
              <w:spacing w:before="0" w:after="283"/>
              <w:jc w:val="right"/>
              <w:rPr/>
            </w:pPr>
            <w:r>
              <w:rPr/>
              <w:drawing>
                <wp:inline distT="0" distB="0" distL="0" distR="0">
                  <wp:extent cx="2428875"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28875" cy="40005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July 23, 2026 </w:t>
      </w:r>
    </w:p>
    <w:p>
      <w:pPr>
        <w:pStyle w:val="TextBody"/>
        <w:bidi w:val="0"/>
        <w:spacing w:before="240" w:after="0"/>
        <w:jc w:val="left"/>
        <w:rPr>
          <w:rFonts w:ascii="Times New Roman" w:hAnsi="Times New Roman"/>
          <w:sz w:val="20"/>
        </w:rPr>
      </w:pPr>
      <w:r>
        <w:rPr>
          <w:rFonts w:ascii="Times New Roman" w:hAnsi="Times New Roman"/>
          <w:sz w:val="20"/>
        </w:rPr>
        <w:t xml:space="preserve">Scribe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1150 Marina Village Parkway </w:t>
      </w:r>
    </w:p>
    <w:p>
      <w:pPr>
        <w:pStyle w:val="TextBody"/>
        <w:bidi w:val="0"/>
        <w:spacing w:before="0" w:after="0"/>
        <w:jc w:val="left"/>
        <w:rPr>
          <w:rFonts w:ascii="Times New Roman" w:hAnsi="Times New Roman"/>
          <w:sz w:val="20"/>
        </w:rPr>
      </w:pPr>
      <w:r>
        <w:rPr>
          <w:rFonts w:ascii="Times New Roman" w:hAnsi="Times New Roman"/>
          <w:sz w:val="20"/>
        </w:rPr>
        <w:t xml:space="preserve">Alameda, California 94501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S-1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As counsel to Scribe Therapeutics Inc., a Delaware corporation (the “</w:t>
      </w:r>
      <w:r>
        <w:rPr>
          <w:rFonts w:ascii="Times New Roman" w:hAnsi="Times New Roman"/>
          <w:b/>
          <w:i/>
          <w:sz w:val="20"/>
        </w:rPr>
        <w:t>Company</w:t>
      </w:r>
      <w:r>
        <w:rPr>
          <w:rFonts w:ascii="Times New Roman" w:hAnsi="Times New Roman"/>
          <w:sz w:val="20"/>
        </w:rPr>
        <w:t>”), we have examined the Registration Statement on Form S-1 filed by the Company with the Securities and Exchange Commission (the “</w:t>
      </w:r>
      <w:r>
        <w:rPr>
          <w:rFonts w:ascii="Times New Roman" w:hAnsi="Times New Roman"/>
          <w:b/>
          <w:i/>
          <w:sz w:val="20"/>
        </w:rPr>
        <w:t>Commission</w:t>
      </w:r>
      <w:r>
        <w:rPr>
          <w:rFonts w:ascii="Times New Roman" w:hAnsi="Times New Roman"/>
          <w:sz w:val="20"/>
        </w:rPr>
        <w:t>”) on or about July 2, 2026 (the “</w:t>
      </w:r>
      <w:r>
        <w:rPr>
          <w:rFonts w:ascii="Times New Roman" w:hAnsi="Times New Roman"/>
          <w:b/>
          <w:i/>
          <w:sz w:val="20"/>
        </w:rPr>
        <w:t>Registration Statement</w:t>
      </w:r>
      <w:r>
        <w:rPr>
          <w:rFonts w:ascii="Times New Roman" w:hAnsi="Times New Roman"/>
          <w:sz w:val="20"/>
        </w:rPr>
        <w:t>”), as subsequently amended on July 10, 2026 and July 20, 2026, including a related prospectus included in the Registration Statement (the “</w:t>
      </w:r>
      <w:r>
        <w:rPr>
          <w:rFonts w:ascii="Times New Roman" w:hAnsi="Times New Roman"/>
          <w:b/>
          <w:i/>
          <w:sz w:val="20"/>
        </w:rPr>
        <w:t>Prospectus</w:t>
      </w:r>
      <w:r>
        <w:rPr>
          <w:rFonts w:ascii="Times New Roman" w:hAnsi="Times New Roman"/>
          <w:sz w:val="20"/>
        </w:rPr>
        <w:t>”), in connection with the registration under the Securities Act of 1933, as amended (the “</w:t>
      </w:r>
      <w:r>
        <w:rPr>
          <w:rFonts w:ascii="Times New Roman" w:hAnsi="Times New Roman"/>
          <w:b/>
          <w:i/>
          <w:sz w:val="20"/>
        </w:rPr>
        <w:t>Securities Act</w:t>
      </w:r>
      <w:r>
        <w:rPr>
          <w:rFonts w:ascii="Times New Roman" w:hAnsi="Times New Roman"/>
          <w:sz w:val="20"/>
        </w:rPr>
        <w:t>”), of $24,667,500 aggregate offering amount of shares of the Company’s common stock, $0.001 par value per share (the “</w:t>
      </w:r>
      <w:r>
        <w:rPr>
          <w:rFonts w:ascii="Times New Roman" w:hAnsi="Times New Roman"/>
          <w:b/>
          <w:i/>
          <w:sz w:val="20"/>
        </w:rPr>
        <w:t>Shares</w:t>
      </w:r>
      <w:r>
        <w:rPr>
          <w:rFonts w:ascii="Times New Roman" w:hAnsi="Times New Roman"/>
          <w:sz w:val="20"/>
        </w:rPr>
        <w:t xml:space="preserve">”). This letter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issue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 </w:t>
      </w:r>
    </w:p>
    <w:p>
      <w:pPr>
        <w:pStyle w:val="TextBody"/>
        <w:bidi w:val="0"/>
        <w:spacing w:before="240" w:after="0"/>
        <w:jc w:val="left"/>
        <w:rPr>
          <w:rFonts w:ascii="Times New Roman" w:hAnsi="Times New Roman"/>
          <w:sz w:val="20"/>
        </w:rPr>
      </w:pPr>
      <w:r>
        <w:rPr>
          <w:rFonts w:ascii="Times New Roman" w:hAnsi="Times New Roman"/>
          <w:sz w:val="20"/>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hAnsi="Times New Roman"/>
          <w:b/>
          <w:i/>
          <w:sz w:val="20"/>
        </w:rPr>
        <w:t>EDGAR</w:t>
      </w:r>
      <w:r>
        <w:rPr>
          <w:rFonts w:ascii="Times New Roman" w:hAnsi="Times New Roman"/>
          <w:sz w:val="20"/>
        </w:rPr>
        <w:t xml:space="preserve">”), except for required EDGAR formatting changes, to physical copies submitted for our examination.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Scribe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July 23,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opinions in this letter are limited to the existing General Corporation Law of the State of Delaware now in effect.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opinion expressed below, we have assumed that, (i) the Registration Statement and any amendments (including any necessary post-effective amendments) will have been declared effective under the Securities Act, (ii) the Registration Statement will apply to the offer and sale of the Shares and will not have been modified or rescinded and (iii) the Company’s Amended and Restated Certificate of Incorporation, a form of which has been filed as an exhibit to the Registration Statement is filed with the Secretary of State of the State of Delaware before issuance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and exceptions contained herein, we are of the opinion that the Shares, when issued, sold and delivered in the manner and for the consideration stated in the Registration Statement and the Prospectus, and in accordance with the resolutions adopted by the Company’s board of directors and the Pricing Committee thereof,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all references to us, if any, in the Registration Statement, the Prospectus and any amendments thereto. In giving this consent we do not thereby admit that we come within the category of persons whose consent is required under Section 7 of the Securities Act or the rules and regulations of the Commission thereunder. </w:t>
      </w:r>
    </w:p>
    <w:p>
      <w:pPr>
        <w:pStyle w:val="TextBody"/>
        <w:bidi w:val="0"/>
        <w:spacing w:before="240" w:after="0"/>
        <w:jc w:val="center"/>
        <w:rPr>
          <w:rFonts w:ascii="Times New Roman" w:hAnsi="Times New Roman"/>
          <w:i/>
          <w:sz w:val="20"/>
        </w:rPr>
      </w:pPr>
      <w:r>
        <w:rPr>
          <w:rFonts w:ascii="Times New Roman" w:hAnsi="Times New Roman"/>
          <w:i/>
          <w:sz w:val="20"/>
        </w:rPr>
        <w:t xml:space="preserve">[Concluding Paragraph Follows on Next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Scribe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July 23,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intended solely for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Fenwick &amp; West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FENWICK &amp; WEST LLP</w:t>
            </w:r>
          </w:p>
        </w:tc>
      </w:tr>
    </w:tbl>
    <w:p>
      <w:pPr>
        <w:pStyle w:val="TextBody"/>
        <w:bidi w:val="0"/>
        <w:spacing w:before="0" w:after="0"/>
        <w:jc w:val="right"/>
        <w:rPr>
          <w:rFonts w:ascii="Times New Roman" w:hAnsi="Times New Roman"/>
          <w:b/>
          <w:sz w:val="20"/>
        </w:rPr>
      </w:pPr>
      <w:bookmarkStart w:id="4" w:name="d113461dex231.htm"/>
      <w:bookmarkStart w:id="5" w:name="ksd113461dex231"/>
      <w:bookmarkEnd w:id="4"/>
      <w:bookmarkEnd w:id="5"/>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S-1 (filed pursuant to Rule 462(b) of the Securities Act of 1933, as amended) of our report dated March 6, 2026 (July 20, 2026, as to the effects of the reverse stock split described in Notes 2 and 15) relating to the financial statements of Scribe Therapeutics Inc, appearing in Amendment No. 2 to Registration Statement No. 333-297246 on Form S-1 of Scribe Therapeutics Inc.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240" w:after="0"/>
        <w:jc w:val="left"/>
        <w:rPr>
          <w:rFonts w:ascii="Times New Roman" w:hAnsi="Times New Roman"/>
          <w:sz w:val="20"/>
        </w:rPr>
      </w:pPr>
      <w:r>
        <w:rPr>
          <w:rFonts w:ascii="Times New Roman" w:hAnsi="Times New Roman"/>
          <w:sz w:val="20"/>
        </w:rPr>
        <w:t xml:space="preserve">July 23, 2026 </w:t>
      </w:r>
    </w:p>
    <w:p>
      <w:pPr>
        <w:pStyle w:val="Normal"/>
        <w:bidi w:val="0"/>
        <w:spacing w:before="0" w:after="0"/>
        <w:jc w:val="left"/>
        <w:rPr>
          <w:sz w:val="4"/>
          <w:szCs w:val="4"/>
        </w:rPr>
      </w:pPr>
      <w:r>
        <w:rPr>
          <w:sz w:val="4"/>
          <w:szCs w:val="4"/>
        </w:rPr>
      </w:r>
      <w:bookmarkStart w:id="6" w:name="d113461dexfilingfees.htm"/>
      <w:bookmarkStart w:id="7" w:name="ksd113461dexfilingfees"/>
      <w:bookmarkStart w:id="8" w:name="d113461dexfilingfees.htm"/>
      <w:bookmarkStart w:id="9" w:name="ksd113461dexfilingfees"/>
      <w:bookmarkEnd w:id="8"/>
      <w:bookmarkEnd w:id="9"/>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Scribe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$ 24,667,500.00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$ 3,406.58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0" w:name="MaxAggtOfferingPrice"/>
            <w:bookmarkEnd w:id="10"/>
            <w:r>
              <w:rPr/>
              <w:t xml:space="preserve">$ 24,667,500.00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1" w:name="TotalFeeAmt"/>
            <w:bookmarkEnd w:id="11"/>
            <w:r>
              <w:rPr/>
              <w:t xml:space="preserve">$ 3,406.58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2" w:name="TotalPreviouslyPaidAmt"/>
            <w:bookmarkEnd w:id="1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4" w:name="NetFeeAmt"/>
            <w:bookmarkEnd w:id="14"/>
            <w:r>
              <w:rPr/>
              <w:t xml:space="preserve">$ 3,406.58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Represents only the additional $24,667,500 of shares of common stock being registered pursuant to this registration statement and includes shares of common stock that the underwriters have the option to purchase. Does not include the $123,337,500 of shares of common stock that were previously registered on the Registration Statement on Form S-1 (File No. 333-297246), as amended (the "Prior Registration Statement"). (2) Based on the public offering price. (3) The registration fee is calculated in accordance with Rule 457(o) under the Securities Act of 1933, as amended (the "Securities Act"), based on the maximum aggregate offering price. The registrant previously registered an aggregate of $123,337,500 of shares of its common stock on the Prior Registration Statement, which was declared effective by the Securities and Exchange Commission on July 23, 2026. In accordance with Rule 462(b) under the Securities Act, an additional amount of securities having a maximum aggregate offering price of $24,667,500 is hereby registered, which includes shares of common stock that the underwriters have the option to purchase.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2416</Words>
  <Characters>13093</Characters>
  <CharactersWithSpaces>15553</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