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14.xml.htm"/>
      <w:bookmarkStart w:id="1" w:name="ksform307242026_01071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Parrot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100,462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25% of the award on January 1, 2026, and the remaining 75% of the option will vest in equal monthly installments thereafter until such time as the options are 100%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Parrot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42026_010716.htm"/>
      <w:bookmarkStart w:id="3" w:name="ksex2407242026_010716"/>
      <w:bookmarkStart w:id="4" w:name="ex24-07242026_010716.htm"/>
      <w:bookmarkStart w:id="5" w:name="ksex2407242026_010716"/>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Benjamin L. Oakes and Svetlana Lucas, and each of them, as long as they are providing services to Scribe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18th day of March,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165"/>
        <w:jc w:val="left"/>
        <w:rPr>
          <w:i/>
          <w:sz w:val="22"/>
          <w:u w:val="single"/>
        </w:rPr>
      </w:pPr>
      <w:r>
        <w:rPr>
          <w:i/>
          <w:sz w:val="22"/>
          <w:u w:val="single"/>
        </w:rPr>
        <w:t>/s/ David Parrot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Name:  David Parrot</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7908"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1061</Words>
  <Characters>5644</Characters>
  <CharactersWithSpaces>6627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